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Меры, направленные на устранение причин и условий,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способствующих повышенной активности обращений по вопросам,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решение которых входит в компетенцию Федерального казначейства,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за период c 1 </w:t>
      </w:r>
      <w:r>
        <w:rPr>
          <w:sz w:val="28"/>
          <w:szCs w:val="28"/>
        </w:rPr>
        <w:t xml:space="preserve">октября</w:t>
      </w:r>
      <w:r>
        <w:rPr>
          <w:sz w:val="28"/>
          <w:szCs w:val="28"/>
        </w:rPr>
        <w:t xml:space="preserve"> 2025 года по 3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</w:t>
      </w:r>
      <w:r>
        <w:rPr>
          <w:sz w:val="28"/>
          <w:szCs w:val="28"/>
        </w:rPr>
        <w:t xml:space="preserve"> 2025 года</w:t>
      </w:r>
      <w:r>
        <w:rPr>
          <w:sz w:val="28"/>
          <w:szCs w:val="28"/>
        </w:rPr>
      </w:r>
    </w:p>
    <w:p>
      <w:pPr>
        <w:ind w:firstLine="708"/>
        <w:jc w:val="center"/>
        <w:spacing w:line="36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numPr>
          <w:ilvl w:val="0"/>
          <w:numId w:val="24"/>
        </w:numPr>
        <w:ind w:left="0" w:firstLine="709"/>
        <w:jc w:val="both"/>
        <w:spacing w:before="0" w:beforeAutospacing="0" w:after="0" w:afterAutospacing="0" w:line="360" w:lineRule="atLeast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</w:pPr>
      <w:r>
        <w:rPr>
          <w:color w:val="000000"/>
          <w:sz w:val="28"/>
          <w:szCs w:val="28"/>
        </w:rPr>
        <w:t xml:space="preserve">Информатизация. Информационные системы, технологии и средства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их обеспечения (вопросы работоспособности, размещения и корректировки информации на Официальном сайте единой информационной системы в сфере закупок </w:t>
      </w:r>
      <w:hyperlink r:id="rId10" w:tooltip="http://www.zakupki.gov.ru" w:history="1">
        <w:r>
          <w:rPr>
            <w:rStyle w:val="885"/>
            <w:rFonts w:eastAsia="Arial"/>
            <w:sz w:val="28"/>
            <w:szCs w:val="28"/>
          </w:rPr>
          <w:t xml:space="preserve">www.zakupki.gov.ru</w:t>
        </w:r>
      </w:hyperlink>
      <w:r>
        <w:rPr>
          <w:color w:val="000000"/>
          <w:sz w:val="28"/>
          <w:szCs w:val="28"/>
        </w:rPr>
        <w:t xml:space="preserve"> (далее - ЕИС), а также вопросы, связанные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с отсутствием либо некорректным отражением информации об оплате административных штрафов в области дорожного движения в Государственной информационной системе о государственных и муниципальных платежах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(далее – ГИС ГМП):</w:t>
      </w:r>
      <w:r/>
    </w:p>
    <w:p>
      <w:pPr>
        <w:pStyle w:val="908"/>
        <w:ind w:left="0" w:right="0" w:firstLine="709"/>
        <w:jc w:val="both"/>
        <w:spacing w:before="0" w:beforeAutospacing="0" w:after="0" w:afterAutospacing="0" w:line="360" w:lineRule="atLeast"/>
        <w:tabs>
          <w:tab w:val="left" w:pos="851" w:leader="none"/>
          <w:tab w:val="left" w:pos="993" w:leader="none"/>
          <w:tab w:val="left" w:pos="1276" w:leader="none"/>
        </w:tabs>
      </w:pPr>
      <w:r>
        <w:rPr>
          <w:color w:val="000000"/>
          <w:sz w:val="28"/>
          <w:szCs w:val="28"/>
        </w:rPr>
        <w:t xml:space="preserve">регулярно на ЕИС публикуется информация по новым функциональным возможностям системы;</w:t>
      </w:r>
      <w:r/>
    </w:p>
    <w:p>
      <w:pPr>
        <w:pStyle w:val="908"/>
        <w:ind w:left="0" w:right="0" w:firstLine="709"/>
        <w:jc w:val="both"/>
        <w:spacing w:before="0" w:beforeAutospacing="0" w:after="0" w:afterAutospacing="0" w:line="360" w:lineRule="atLeast"/>
        <w:tabs>
          <w:tab w:val="left" w:pos="851" w:leader="none"/>
          <w:tab w:val="left" w:pos="993" w:leader="none"/>
          <w:tab w:val="left" w:pos="1276" w:leader="none"/>
        </w:tabs>
      </w:pPr>
      <w:r>
        <w:rPr>
          <w:color w:val="000000"/>
          <w:sz w:val="28"/>
          <w:szCs w:val="28"/>
        </w:rPr>
        <w:t xml:space="preserve">в адрес территориальных органов Федерального казначейства и главных распорядителей бюджетных средств направлены разъяснительные письма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по работе в ЕИС;</w:t>
      </w:r>
      <w:r/>
    </w:p>
    <w:p>
      <w:pPr>
        <w:pStyle w:val="908"/>
        <w:ind w:left="0" w:right="0" w:firstLine="709"/>
        <w:jc w:val="both"/>
        <w:spacing w:before="0" w:beforeAutospacing="0" w:after="0" w:afterAutospacing="0" w:line="360" w:lineRule="atLeast"/>
        <w:tabs>
          <w:tab w:val="left" w:pos="851" w:leader="none"/>
          <w:tab w:val="left" w:pos="993" w:leader="none"/>
        </w:tabs>
      </w:pPr>
      <w:r>
        <w:rPr>
          <w:color w:val="000000"/>
          <w:sz w:val="28"/>
          <w:szCs w:val="28"/>
        </w:rPr>
        <w:t xml:space="preserve">проведено совещание с участием территориальных органов Федерального казначейства, крупных заказчиков и всех заинтересованных лиц по теме «Новации в сфере закупок 2025 г., выход версии ГИС ЕИС 16.0»;</w:t>
      </w:r>
      <w:r/>
    </w:p>
    <w:p>
      <w:pPr>
        <w:pStyle w:val="908"/>
        <w:ind w:left="0" w:right="0" w:firstLine="709"/>
        <w:jc w:val="both"/>
        <w:spacing w:before="0" w:beforeAutospacing="0" w:after="0" w:afterAutospacing="0" w:line="360" w:lineRule="atLeast"/>
        <w:tabs>
          <w:tab w:val="left" w:pos="851" w:leader="none"/>
          <w:tab w:val="left" w:pos="993" w:leader="none"/>
          <w:tab w:val="left" w:pos="1276" w:leader="none"/>
        </w:tabs>
      </w:pPr>
      <w:r>
        <w:rPr>
          <w:color w:val="000000"/>
          <w:sz w:val="28"/>
          <w:szCs w:val="28"/>
        </w:rPr>
        <w:t xml:space="preserve">провод</w:t>
      </w:r>
      <w:r>
        <w:rPr>
          <w:color w:val="000000"/>
          <w:sz w:val="28"/>
          <w:szCs w:val="28"/>
        </w:rPr>
        <w:t xml:space="preserve">ятся регулярные заседания Рабочей группы по вопросам интеграционного взаимодействия ЕИС, государственной информационной системы Официальный сайт Российской Федерации в информационно-телекоммуникационной сети «Интернет» www.torgi.gov.ru (далее – ГИС Торги) </w:t>
      </w:r>
      <w:r>
        <w:rPr>
          <w:color w:val="000000"/>
          <w:sz w:val="28"/>
          <w:szCs w:val="28"/>
        </w:rPr>
        <w:br/>
        <w:t xml:space="preserve"> и государственной информационной системы «Независимый регистратор» (далее – ГИС «Независимый регистратор») с электронными площадками, а также иным вопросам функционирования указанных систем с участием представителей Минфина России, ФАС России, </w:t>
      </w:r>
      <w:r>
        <w:rPr>
          <w:color w:val="000000"/>
          <w:sz w:val="28"/>
          <w:szCs w:val="28"/>
        </w:rPr>
        <w:t xml:space="preserve">Минцифры</w:t>
      </w:r>
      <w:r>
        <w:rPr>
          <w:color w:val="000000"/>
          <w:sz w:val="28"/>
          <w:szCs w:val="28"/>
        </w:rPr>
        <w:t xml:space="preserve"> России, Минэкономразвития России, </w:t>
      </w:r>
      <w:r>
        <w:rPr>
          <w:color w:val="000000"/>
          <w:sz w:val="28"/>
          <w:szCs w:val="28"/>
        </w:rPr>
        <w:t xml:space="preserve">Росимущества</w:t>
      </w:r>
      <w:r>
        <w:rPr>
          <w:color w:val="000000"/>
          <w:sz w:val="28"/>
          <w:szCs w:val="28"/>
        </w:rPr>
        <w:t xml:space="preserve">, электронных площадок и внешних систем размещения заказа в целях выработки единых подходов к реализации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ЕИС новых электронных процедур, предусмотренных Федеральным законом от 5 апреля 2013 г. № 44-ФЗ «О контрактной системе в сфере закупок товаров, работ, услуг для обеспечения государственных  и муниципальных нужд»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(далее – 44-ФЗ) и Федеральным законом от 18 июля 2011 г. № 223-ФЗ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«О закупках товаров, работ, услуг отдельными видами юридических лиц»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(далее - 223-ФЗ);</w:t>
      </w:r>
      <w:r/>
    </w:p>
    <w:p>
      <w:pPr>
        <w:pStyle w:val="908"/>
        <w:ind w:left="0" w:right="0" w:firstLine="709"/>
        <w:jc w:val="both"/>
        <w:spacing w:before="0" w:beforeAutospacing="0" w:after="0" w:afterAutospacing="0" w:line="360" w:lineRule="atLeast"/>
        <w:tabs>
          <w:tab w:val="left" w:pos="709" w:leader="none"/>
          <w:tab w:val="left" w:pos="851" w:leader="none"/>
          <w:tab w:val="left" w:pos="993" w:leader="none"/>
          <w:tab w:val="left" w:pos="1276" w:leader="none"/>
        </w:tabs>
      </w:pPr>
      <w:r>
        <w:rPr>
          <w:color w:val="000000"/>
          <w:sz w:val="28"/>
          <w:szCs w:val="28"/>
        </w:rPr>
        <w:t xml:space="preserve">размещается информация в информационном </w:t>
      </w:r>
      <w:r>
        <w:rPr>
          <w:color w:val="000000"/>
          <w:sz w:val="28"/>
          <w:szCs w:val="28"/>
        </w:rPr>
        <w:t xml:space="preserve">телеграм</w:t>
      </w:r>
      <w:r>
        <w:rPr>
          <w:color w:val="000000"/>
          <w:sz w:val="28"/>
          <w:szCs w:val="28"/>
        </w:rPr>
        <w:t xml:space="preserve">-канале Федерального казначейства о работе ЕИС (@</w:t>
      </w:r>
      <w:r>
        <w:rPr>
          <w:color w:val="000000"/>
          <w:sz w:val="28"/>
          <w:szCs w:val="28"/>
        </w:rPr>
        <w:t xml:space="preserve">gis_eiszakupki</w:t>
      </w:r>
      <w:r>
        <w:rPr>
          <w:color w:val="000000"/>
          <w:sz w:val="28"/>
          <w:szCs w:val="28"/>
        </w:rPr>
        <w:t xml:space="preserve">);</w:t>
      </w:r>
      <w:r/>
    </w:p>
    <w:p>
      <w:pPr>
        <w:pStyle w:val="908"/>
        <w:ind w:left="0" w:right="0" w:firstLine="709"/>
        <w:jc w:val="both"/>
        <w:spacing w:before="0" w:beforeAutospacing="0" w:after="0" w:afterAutospacing="0" w:line="360" w:lineRule="atLeast"/>
        <w:tabs>
          <w:tab w:val="left" w:pos="993" w:leader="none"/>
        </w:tabs>
      </w:pPr>
      <w:r>
        <w:rPr>
          <w:color w:val="000000"/>
          <w:sz w:val="28"/>
          <w:szCs w:val="28"/>
        </w:rPr>
        <w:t xml:space="preserve">осуществляется развитие механизма взаимодействия в рамках инцидентной работы с пользователями ЕИС, ГИС Торги и ГИС «Независимый регистратор»;</w:t>
      </w:r>
      <w:r/>
    </w:p>
    <w:p>
      <w:pPr>
        <w:pStyle w:val="908"/>
        <w:ind w:left="0" w:right="0" w:firstLine="709"/>
        <w:jc w:val="both"/>
        <w:spacing w:before="0" w:beforeAutospacing="0" w:after="0" w:afterAutospacing="0" w:line="360" w:lineRule="atLeast"/>
        <w:tabs>
          <w:tab w:val="left" w:pos="993" w:leader="none"/>
        </w:tabs>
      </w:pPr>
      <w:r>
        <w:rPr>
          <w:color w:val="000000"/>
          <w:sz w:val="28"/>
          <w:szCs w:val="28"/>
        </w:rPr>
        <w:t xml:space="preserve">на постоянной основе проводится работа с администраторами доходов бюджетов, ТОФК, кредитными организациями, направленная на обеспечение полноты и качества данных, содержащихся в ГИС ГМП.</w:t>
      </w:r>
      <w:r/>
    </w:p>
    <w:p>
      <w:pPr>
        <w:pStyle w:val="743"/>
        <w:numPr>
          <w:ilvl w:val="0"/>
          <w:numId w:val="24"/>
        </w:numPr>
        <w:ind w:left="0" w:firstLine="709"/>
        <w:jc w:val="both"/>
        <w:spacing w:line="360" w:lineRule="atLeast"/>
        <w:tabs>
          <w:tab w:val="left" w:pos="709" w:leader="none"/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Исполнение судебных решений </w:t>
      </w:r>
      <w:r>
        <w:rPr>
          <w:sz w:val="28"/>
          <w:szCs w:val="28"/>
        </w:rPr>
        <w:t xml:space="preserve">(вопросы, связанные с исполнением исполнительных документов):</w:t>
      </w:r>
      <w:r>
        <w:rPr>
          <w:sz w:val="28"/>
          <w:szCs w:val="28"/>
        </w:rPr>
      </w:r>
    </w:p>
    <w:p>
      <w:pPr>
        <w:pStyle w:val="908"/>
        <w:ind w:left="0" w:right="0" w:firstLine="709"/>
        <w:jc w:val="both"/>
        <w:spacing w:before="0" w:beforeAutospacing="0" w:after="0" w:afterAutospacing="0" w:line="360" w:lineRule="atLeast"/>
        <w:tabs>
          <w:tab w:val="left" w:pos="851" w:leader="none"/>
          <w:tab w:val="left" w:pos="993" w:leader="none"/>
        </w:tabs>
      </w:pPr>
      <w:r>
        <w:rPr>
          <w:color w:val="000000"/>
          <w:sz w:val="28"/>
          <w:szCs w:val="28"/>
        </w:rPr>
        <w:t xml:space="preserve">на официальном сайте Федерального казначейства </w:t>
      </w:r>
      <w:hyperlink r:id="rId11" w:tooltip="http://www.roskazna.gov.ru" w:history="1">
        <w:r>
          <w:rPr>
            <w:rStyle w:val="885"/>
            <w:rFonts w:eastAsia="Arial"/>
            <w:sz w:val="28"/>
            <w:szCs w:val="28"/>
          </w:rPr>
          <w:t xml:space="preserve">www.roskazna.gov.ru</w:t>
        </w:r>
      </w:hyperlink>
      <w:r>
        <w:rPr>
          <w:color w:val="000000"/>
          <w:sz w:val="28"/>
          <w:szCs w:val="28"/>
        </w:rPr>
        <w:t xml:space="preserve"> (далее – официальный сайт Федерального казначейства) в разделе «Электронная приемная» в подразделе «Взыскание на средства федерального бюджета» размещается информация о ходе исполнения исполнительных документов, </w:t>
      </w:r>
      <w:r>
        <w:rPr>
          <w:color w:val="000000"/>
          <w:sz w:val="28"/>
          <w:szCs w:val="28"/>
        </w:rPr>
        <w:br/>
        <w:t xml:space="preserve"> об открытых лицевых сче</w:t>
      </w:r>
      <w:r>
        <w:rPr>
          <w:color w:val="000000"/>
          <w:sz w:val="28"/>
          <w:szCs w:val="28"/>
        </w:rPr>
        <w:t xml:space="preserve">тах в органах Федерального казначейства, о порядке организации исполнения исполнительных документов, о перечне документов, необходимых для предъявления исполнительного документа в орган Федерального казначейства, а также ответы на часто задаваемые вопросы;</w:t>
      </w:r>
      <w:r/>
    </w:p>
    <w:p>
      <w:pPr>
        <w:ind w:left="0" w:right="0" w:firstLine="709"/>
        <w:jc w:val="both"/>
        <w:spacing w:line="360" w:lineRule="atLeast"/>
        <w:tabs>
          <w:tab w:val="left" w:pos="709" w:leader="none"/>
          <w:tab w:val="left" w:pos="851" w:leader="none"/>
          <w:tab w:val="left" w:pos="99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ведется разъяснительная работа с судами и территориальными органами Федеральной службы судебных приставов по порядку исполнения исполнительных документов в части взыскания государственной пошлины </w:t>
      </w:r>
      <w:r>
        <w:rPr>
          <w:color w:val="000000"/>
          <w:sz w:val="28"/>
          <w:szCs w:val="28"/>
        </w:rPr>
        <w:br/>
        <w:t xml:space="preserve">в доход федерального (муниципального) бюджета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</w:p>
    <w:p>
      <w:pPr>
        <w:pStyle w:val="908"/>
        <w:ind w:firstLine="709"/>
        <w:jc w:val="both"/>
        <w:spacing w:before="0" w:beforeAutospacing="0" w:after="0" w:afterAutospacing="0" w:line="360" w:lineRule="atLeast"/>
        <w:tabs>
          <w:tab w:val="left" w:pos="709" w:leader="none"/>
          <w:tab w:val="left" w:pos="851" w:leader="none"/>
          <w:tab w:val="left" w:pos="993" w:leader="none"/>
        </w:tabs>
      </w:pPr>
      <w:r>
        <w:rPr>
          <w:color w:val="000000"/>
          <w:sz w:val="28"/>
          <w:szCs w:val="28"/>
        </w:rPr>
        <w:t xml:space="preserve">3. </w:t>
      </w:r>
      <w:r>
        <w:rPr>
          <w:color w:val="000000"/>
          <w:sz w:val="28"/>
          <w:szCs w:val="28"/>
        </w:rPr>
        <w:t xml:space="preserve">Закупки для государственных и муниципальных нужд (вопросы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по разъяснению и применению 44-ФЗ и 223-ФЗ, а также вопросы, связанные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с соблюдением норм 44-ФЗ и КоАП РФ):</w:t>
      </w:r>
      <w:r/>
    </w:p>
    <w:p>
      <w:pPr>
        <w:pStyle w:val="908"/>
        <w:ind w:firstLine="709"/>
        <w:jc w:val="both"/>
        <w:spacing w:before="0" w:beforeAutospacing="0" w:after="0" w:afterAutospacing="0" w:line="360" w:lineRule="atLeast"/>
        <w:tabs>
          <w:tab w:val="left" w:pos="709" w:leader="none"/>
          <w:tab w:val="left" w:pos="993" w:leader="none"/>
        </w:tabs>
      </w:pPr>
      <w:r>
        <w:rPr>
          <w:color w:val="000000"/>
          <w:sz w:val="28"/>
          <w:szCs w:val="28"/>
        </w:rPr>
        <w:t xml:space="preserve">регулярно на официальном сайте ЕИС публикуется информация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по вопросам применения законодательства в сфере закупок, методических рекомендаций, разъясняющих материалов и новостных анонсов по изменениям законодательства в сфере закупок;</w:t>
      </w:r>
      <w:r/>
    </w:p>
    <w:p>
      <w:pPr>
        <w:pStyle w:val="908"/>
        <w:ind w:firstLine="709"/>
        <w:jc w:val="both"/>
        <w:spacing w:before="0" w:beforeAutospacing="0" w:after="0" w:afterAutospacing="0" w:line="360" w:lineRule="atLeast"/>
        <w:tabs>
          <w:tab w:val="left" w:pos="993" w:leader="none"/>
        </w:tabs>
      </w:pPr>
      <w:r>
        <w:rPr>
          <w:color w:val="000000"/>
          <w:sz w:val="28"/>
          <w:szCs w:val="28"/>
        </w:rPr>
        <w:t xml:space="preserve">принято участие во всероссийской конференции «Закупки - 2025: перспективы развития контрактной системы и практика применения национального режима в закупках» и пленарной сессии «ГОСЗАКАЗ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для Российских поставщиков»;</w:t>
      </w:r>
      <w:r/>
    </w:p>
    <w:p>
      <w:pPr>
        <w:pStyle w:val="908"/>
        <w:ind w:firstLine="709"/>
        <w:jc w:val="both"/>
        <w:spacing w:before="0" w:beforeAutospacing="0" w:after="0" w:afterAutospacing="0" w:line="360" w:lineRule="atLeast"/>
        <w:tabs>
          <w:tab w:val="left" w:pos="993" w:leader="none"/>
        </w:tabs>
      </w:pPr>
      <w:r>
        <w:rPr>
          <w:color w:val="000000"/>
          <w:sz w:val="28"/>
          <w:szCs w:val="28"/>
        </w:rPr>
        <w:t xml:space="preserve">проводятся совещания в режиме видеоконференции с участием ТОФК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крупных заказчиков по вопросам, связанным с реализацией нововведений </w:t>
      </w:r>
      <w:r>
        <w:rPr>
          <w:color w:val="000000"/>
          <w:sz w:val="28"/>
          <w:szCs w:val="28"/>
        </w:rPr>
        <w:br/>
      </w:r>
      <w:bookmarkStart w:id="0" w:name="_GoBack"/>
      <w:r/>
      <w:bookmarkEnd w:id="0"/>
      <w:r>
        <w:rPr>
          <w:color w:val="000000"/>
          <w:sz w:val="28"/>
          <w:szCs w:val="28"/>
        </w:rPr>
        <w:t xml:space="preserve">в законодательстве в сфере закупок.</w:t>
      </w:r>
      <w:r/>
    </w:p>
    <w:p>
      <w:pPr>
        <w:pStyle w:val="743"/>
        <w:ind w:left="709"/>
        <w:jc w:val="both"/>
        <w:spacing w:line="360" w:lineRule="atLeast"/>
        <w:tabs>
          <w:tab w:val="left" w:pos="709" w:leader="none"/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709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5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78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0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2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4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6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8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0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2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49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75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47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19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1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3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5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7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9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15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8"/>
  </w:num>
  <w:num w:numId="5">
    <w:abstractNumId w:val="5"/>
  </w:num>
  <w:num w:numId="6">
    <w:abstractNumId w:val="15"/>
  </w:num>
  <w:num w:numId="7">
    <w:abstractNumId w:val="23"/>
  </w:num>
  <w:num w:numId="8">
    <w:abstractNumId w:val="16"/>
  </w:num>
  <w:num w:numId="9">
    <w:abstractNumId w:val="16"/>
  </w:num>
  <w:num w:numId="10">
    <w:abstractNumId w:val="22"/>
  </w:num>
  <w:num w:numId="11">
    <w:abstractNumId w:val="19"/>
  </w:num>
  <w:num w:numId="12">
    <w:abstractNumId w:val="21"/>
  </w:num>
  <w:num w:numId="13">
    <w:abstractNumId w:val="20"/>
  </w:num>
  <w:num w:numId="14">
    <w:abstractNumId w:val="7"/>
  </w:num>
  <w:num w:numId="15">
    <w:abstractNumId w:val="12"/>
  </w:num>
  <w:num w:numId="16">
    <w:abstractNumId w:val="14"/>
  </w:num>
  <w:num w:numId="17">
    <w:abstractNumId w:val="1"/>
  </w:num>
  <w:num w:numId="18">
    <w:abstractNumId w:val="0"/>
  </w:num>
  <w:num w:numId="19">
    <w:abstractNumId w:val="18"/>
  </w:num>
  <w:num w:numId="20">
    <w:abstractNumId w:val="13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21">
    <w:abstractNumId w:val="11"/>
  </w:num>
  <w:num w:numId="22">
    <w:abstractNumId w:val="6"/>
  </w:num>
  <w:num w:numId="23">
    <w:abstractNumId w:val="2"/>
  </w:num>
  <w:num w:numId="24">
    <w:abstractNumId w:val="3"/>
  </w:num>
  <w:num w:numId="25">
    <w:abstractNumId w:val="9"/>
  </w:num>
  <w:num w:numId="26">
    <w:abstractNumId w:val="17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1"/>
    <w:link w:val="72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31"/>
    <w:link w:val="72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31"/>
    <w:link w:val="72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31"/>
    <w:link w:val="72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31"/>
    <w:link w:val="72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31"/>
    <w:link w:val="72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31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31"/>
    <w:link w:val="72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31"/>
    <w:link w:val="730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31"/>
    <w:link w:val="745"/>
    <w:uiPriority w:val="10"/>
    <w:rPr>
      <w:sz w:val="48"/>
      <w:szCs w:val="48"/>
    </w:rPr>
  </w:style>
  <w:style w:type="character" w:styleId="37">
    <w:name w:val="Subtitle Char"/>
    <w:basedOn w:val="731"/>
    <w:link w:val="747"/>
    <w:uiPriority w:val="11"/>
    <w:rPr>
      <w:sz w:val="24"/>
      <w:szCs w:val="24"/>
    </w:rPr>
  </w:style>
  <w:style w:type="character" w:styleId="39">
    <w:name w:val="Quote Char"/>
    <w:link w:val="749"/>
    <w:uiPriority w:val="29"/>
    <w:rPr>
      <w:i/>
    </w:rPr>
  </w:style>
  <w:style w:type="character" w:styleId="41">
    <w:name w:val="Intense Quote Char"/>
    <w:link w:val="751"/>
    <w:uiPriority w:val="30"/>
    <w:rPr>
      <w:i/>
    </w:rPr>
  </w:style>
  <w:style w:type="character" w:styleId="47">
    <w:name w:val="Caption Char"/>
    <w:basedOn w:val="731"/>
    <w:link w:val="757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86"/>
    <w:uiPriority w:val="99"/>
    <w:rPr>
      <w:sz w:val="18"/>
    </w:rPr>
  </w:style>
  <w:style w:type="character" w:styleId="179">
    <w:name w:val="Endnote Text Char"/>
    <w:link w:val="889"/>
    <w:uiPriority w:val="99"/>
    <w:rPr>
      <w:sz w:val="20"/>
    </w:rPr>
  </w:style>
  <w:style w:type="paragraph" w:styleId="721" w:default="1">
    <w:name w:val="Normal"/>
    <w:qFormat/>
    <w:rPr>
      <w:sz w:val="24"/>
      <w:szCs w:val="24"/>
      <w:lang w:eastAsia="ru-RU"/>
    </w:rPr>
  </w:style>
  <w:style w:type="paragraph" w:styleId="722">
    <w:name w:val="Heading 1"/>
    <w:basedOn w:val="721"/>
    <w:next w:val="721"/>
    <w:link w:val="73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3">
    <w:name w:val="Heading 2"/>
    <w:basedOn w:val="721"/>
    <w:next w:val="721"/>
    <w:link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4">
    <w:name w:val="Heading 3"/>
    <w:basedOn w:val="721"/>
    <w:next w:val="721"/>
    <w:link w:val="7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5">
    <w:name w:val="Heading 4"/>
    <w:basedOn w:val="721"/>
    <w:next w:val="721"/>
    <w:link w:val="7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721"/>
    <w:next w:val="721"/>
    <w:link w:val="73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27">
    <w:name w:val="Heading 6"/>
    <w:basedOn w:val="721"/>
    <w:next w:val="721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8">
    <w:name w:val="Heading 7"/>
    <w:basedOn w:val="721"/>
    <w:next w:val="721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9">
    <w:name w:val="Heading 8"/>
    <w:basedOn w:val="721"/>
    <w:next w:val="721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721"/>
    <w:next w:val="721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 w:default="1">
    <w:name w:val="Default Paragraph Font"/>
    <w:uiPriority w:val="1"/>
    <w:semiHidden/>
    <w:unhideWhenUsed/>
  </w:style>
  <w:style w:type="table" w:styleId="7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3" w:default="1">
    <w:name w:val="No List"/>
    <w:uiPriority w:val="99"/>
    <w:semiHidden/>
    <w:unhideWhenUsed/>
  </w:style>
  <w:style w:type="character" w:styleId="734" w:customStyle="1">
    <w:name w:val="Заголовок 1 Знак"/>
    <w:link w:val="722"/>
    <w:uiPriority w:val="9"/>
    <w:rPr>
      <w:rFonts w:ascii="Arial" w:hAnsi="Arial" w:eastAsia="Arial" w:cs="Arial"/>
      <w:sz w:val="40"/>
      <w:szCs w:val="40"/>
    </w:rPr>
  </w:style>
  <w:style w:type="character" w:styleId="735" w:customStyle="1">
    <w:name w:val="Заголовок 2 Знак"/>
    <w:link w:val="723"/>
    <w:uiPriority w:val="9"/>
    <w:rPr>
      <w:rFonts w:ascii="Arial" w:hAnsi="Arial" w:eastAsia="Arial" w:cs="Arial"/>
      <w:sz w:val="34"/>
    </w:rPr>
  </w:style>
  <w:style w:type="character" w:styleId="736" w:customStyle="1">
    <w:name w:val="Заголовок 3 Знак"/>
    <w:link w:val="724"/>
    <w:uiPriority w:val="9"/>
    <w:rPr>
      <w:rFonts w:ascii="Arial" w:hAnsi="Arial" w:eastAsia="Arial" w:cs="Arial"/>
      <w:sz w:val="30"/>
      <w:szCs w:val="30"/>
    </w:rPr>
  </w:style>
  <w:style w:type="character" w:styleId="737" w:customStyle="1">
    <w:name w:val="Заголовок 4 Знак"/>
    <w:link w:val="725"/>
    <w:uiPriority w:val="9"/>
    <w:rPr>
      <w:rFonts w:ascii="Arial" w:hAnsi="Arial" w:eastAsia="Arial" w:cs="Arial"/>
      <w:b/>
      <w:bCs/>
      <w:sz w:val="26"/>
      <w:szCs w:val="26"/>
    </w:rPr>
  </w:style>
  <w:style w:type="character" w:styleId="738" w:customStyle="1">
    <w:name w:val="Заголовок 5 Знак"/>
    <w:link w:val="726"/>
    <w:uiPriority w:val="9"/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Заголовок 6 Знак"/>
    <w:link w:val="727"/>
    <w:uiPriority w:val="9"/>
    <w:rPr>
      <w:rFonts w:ascii="Arial" w:hAnsi="Arial" w:eastAsia="Arial" w:cs="Arial"/>
      <w:b/>
      <w:bCs/>
      <w:sz w:val="22"/>
      <w:szCs w:val="22"/>
    </w:rPr>
  </w:style>
  <w:style w:type="character" w:styleId="740" w:customStyle="1">
    <w:name w:val="Заголовок 7 Знак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Заголовок 8 Знак"/>
    <w:link w:val="729"/>
    <w:uiPriority w:val="9"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Заголовок 9 Знак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721"/>
    <w:uiPriority w:val="34"/>
    <w:qFormat/>
    <w:pPr>
      <w:contextualSpacing/>
      <w:ind w:left="720"/>
    </w:pPr>
  </w:style>
  <w:style w:type="paragraph" w:styleId="744">
    <w:name w:val="No Spacing"/>
    <w:uiPriority w:val="1"/>
    <w:qFormat/>
  </w:style>
  <w:style w:type="paragraph" w:styleId="745">
    <w:name w:val="Title"/>
    <w:basedOn w:val="721"/>
    <w:next w:val="721"/>
    <w:link w:val="74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6" w:customStyle="1">
    <w:name w:val="Название Знак"/>
    <w:link w:val="745"/>
    <w:uiPriority w:val="10"/>
    <w:rPr>
      <w:sz w:val="48"/>
      <w:szCs w:val="48"/>
    </w:rPr>
  </w:style>
  <w:style w:type="paragraph" w:styleId="747">
    <w:name w:val="Subtitle"/>
    <w:basedOn w:val="721"/>
    <w:next w:val="721"/>
    <w:link w:val="748"/>
    <w:uiPriority w:val="11"/>
    <w:qFormat/>
    <w:pPr>
      <w:spacing w:before="200" w:after="200"/>
    </w:pPr>
  </w:style>
  <w:style w:type="character" w:styleId="748" w:customStyle="1">
    <w:name w:val="Подзаголовок Знак"/>
    <w:link w:val="747"/>
    <w:uiPriority w:val="11"/>
    <w:rPr>
      <w:sz w:val="24"/>
      <w:szCs w:val="24"/>
    </w:rPr>
  </w:style>
  <w:style w:type="paragraph" w:styleId="749">
    <w:name w:val="Quote"/>
    <w:basedOn w:val="721"/>
    <w:next w:val="721"/>
    <w:link w:val="750"/>
    <w:uiPriority w:val="29"/>
    <w:qFormat/>
    <w:pPr>
      <w:ind w:left="720" w:right="720"/>
    </w:pPr>
    <w:rPr>
      <w:i/>
    </w:rPr>
  </w:style>
  <w:style w:type="character" w:styleId="750" w:customStyle="1">
    <w:name w:val="Цитата 2 Знак"/>
    <w:link w:val="749"/>
    <w:uiPriority w:val="29"/>
    <w:rPr>
      <w:i/>
    </w:rPr>
  </w:style>
  <w:style w:type="paragraph" w:styleId="751">
    <w:name w:val="Intense Quote"/>
    <w:basedOn w:val="721"/>
    <w:next w:val="721"/>
    <w:link w:val="75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2" w:customStyle="1">
    <w:name w:val="Выделенная цитата Знак"/>
    <w:link w:val="751"/>
    <w:uiPriority w:val="30"/>
    <w:rPr>
      <w:i/>
    </w:rPr>
  </w:style>
  <w:style w:type="paragraph" w:styleId="753">
    <w:name w:val="Header"/>
    <w:basedOn w:val="721"/>
    <w:link w:val="904"/>
    <w:uiPriority w:val="99"/>
    <w:pPr>
      <w:tabs>
        <w:tab w:val="center" w:pos="4677" w:leader="none"/>
        <w:tab w:val="right" w:pos="9355" w:leader="none"/>
      </w:tabs>
    </w:pPr>
  </w:style>
  <w:style w:type="character" w:styleId="754" w:customStyle="1">
    <w:name w:val="Header Char"/>
    <w:uiPriority w:val="99"/>
  </w:style>
  <w:style w:type="paragraph" w:styleId="755">
    <w:name w:val="Footer"/>
    <w:basedOn w:val="721"/>
    <w:link w:val="905"/>
    <w:pPr>
      <w:tabs>
        <w:tab w:val="center" w:pos="4677" w:leader="none"/>
        <w:tab w:val="right" w:pos="9355" w:leader="none"/>
      </w:tabs>
    </w:pPr>
  </w:style>
  <w:style w:type="character" w:styleId="756" w:customStyle="1">
    <w:name w:val="Footer Char"/>
    <w:uiPriority w:val="99"/>
  </w:style>
  <w:style w:type="paragraph" w:styleId="757">
    <w:name w:val="Caption"/>
    <w:basedOn w:val="721"/>
    <w:next w:val="721"/>
    <w:link w:val="7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8" w:customStyle="1">
    <w:name w:val="Название объекта Знак"/>
    <w:link w:val="757"/>
    <w:uiPriority w:val="35"/>
    <w:rPr>
      <w:b/>
      <w:bCs/>
      <w:color w:val="4f81bd" w:themeColor="accent1"/>
      <w:sz w:val="18"/>
      <w:szCs w:val="18"/>
    </w:rPr>
  </w:style>
  <w:style w:type="table" w:styleId="759">
    <w:name w:val="Table Grid"/>
    <w:basedOn w:val="732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6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5">
    <w:name w:val="Hyperlink"/>
    <w:uiPriority w:val="99"/>
    <w:unhideWhenUsed/>
    <w:rPr>
      <w:color w:val="0000ff"/>
      <w:u w:val="single"/>
    </w:rPr>
  </w:style>
  <w:style w:type="paragraph" w:styleId="886">
    <w:name w:val="footnote text"/>
    <w:basedOn w:val="721"/>
    <w:link w:val="887"/>
    <w:uiPriority w:val="99"/>
    <w:semiHidden/>
    <w:unhideWhenUsed/>
    <w:pPr>
      <w:spacing w:after="40"/>
    </w:pPr>
    <w:rPr>
      <w:sz w:val="18"/>
    </w:rPr>
  </w:style>
  <w:style w:type="character" w:styleId="887" w:customStyle="1">
    <w:name w:val="Текст сноски Знак"/>
    <w:link w:val="886"/>
    <w:uiPriority w:val="99"/>
    <w:rPr>
      <w:sz w:val="18"/>
    </w:rPr>
  </w:style>
  <w:style w:type="character" w:styleId="888">
    <w:name w:val="footnote reference"/>
    <w:uiPriority w:val="99"/>
    <w:unhideWhenUsed/>
    <w:rPr>
      <w:vertAlign w:val="superscript"/>
    </w:rPr>
  </w:style>
  <w:style w:type="paragraph" w:styleId="889">
    <w:name w:val="endnote text"/>
    <w:basedOn w:val="721"/>
    <w:link w:val="890"/>
    <w:uiPriority w:val="99"/>
    <w:semiHidden/>
    <w:unhideWhenUsed/>
    <w:rPr>
      <w:sz w:val="20"/>
    </w:rPr>
  </w:style>
  <w:style w:type="character" w:styleId="890" w:customStyle="1">
    <w:name w:val="Текст концевой сноски Знак"/>
    <w:link w:val="889"/>
    <w:uiPriority w:val="99"/>
    <w:rPr>
      <w:sz w:val="20"/>
    </w:rPr>
  </w:style>
  <w:style w:type="character" w:styleId="891">
    <w:name w:val="endnote reference"/>
    <w:uiPriority w:val="99"/>
    <w:semiHidden/>
    <w:unhideWhenUsed/>
    <w:rPr>
      <w:vertAlign w:val="superscript"/>
    </w:rPr>
  </w:style>
  <w:style w:type="paragraph" w:styleId="892">
    <w:name w:val="toc 1"/>
    <w:basedOn w:val="721"/>
    <w:next w:val="721"/>
    <w:uiPriority w:val="39"/>
    <w:unhideWhenUsed/>
    <w:pPr>
      <w:spacing w:after="57"/>
    </w:pPr>
  </w:style>
  <w:style w:type="paragraph" w:styleId="893">
    <w:name w:val="toc 2"/>
    <w:basedOn w:val="721"/>
    <w:next w:val="721"/>
    <w:uiPriority w:val="39"/>
    <w:unhideWhenUsed/>
    <w:pPr>
      <w:ind w:left="283"/>
      <w:spacing w:after="57"/>
    </w:pPr>
  </w:style>
  <w:style w:type="paragraph" w:styleId="894">
    <w:name w:val="toc 3"/>
    <w:basedOn w:val="721"/>
    <w:next w:val="721"/>
    <w:uiPriority w:val="39"/>
    <w:unhideWhenUsed/>
    <w:pPr>
      <w:ind w:left="567"/>
      <w:spacing w:after="57"/>
    </w:pPr>
  </w:style>
  <w:style w:type="paragraph" w:styleId="895">
    <w:name w:val="toc 4"/>
    <w:basedOn w:val="721"/>
    <w:next w:val="721"/>
    <w:uiPriority w:val="39"/>
    <w:unhideWhenUsed/>
    <w:pPr>
      <w:ind w:left="850"/>
      <w:spacing w:after="57"/>
    </w:pPr>
  </w:style>
  <w:style w:type="paragraph" w:styleId="896">
    <w:name w:val="toc 5"/>
    <w:basedOn w:val="721"/>
    <w:next w:val="721"/>
    <w:uiPriority w:val="39"/>
    <w:unhideWhenUsed/>
    <w:pPr>
      <w:ind w:left="1134"/>
      <w:spacing w:after="57"/>
    </w:pPr>
  </w:style>
  <w:style w:type="paragraph" w:styleId="897">
    <w:name w:val="toc 6"/>
    <w:basedOn w:val="721"/>
    <w:next w:val="721"/>
    <w:uiPriority w:val="39"/>
    <w:unhideWhenUsed/>
    <w:pPr>
      <w:ind w:left="1417"/>
      <w:spacing w:after="57"/>
    </w:pPr>
  </w:style>
  <w:style w:type="paragraph" w:styleId="898">
    <w:name w:val="toc 7"/>
    <w:basedOn w:val="721"/>
    <w:next w:val="721"/>
    <w:uiPriority w:val="39"/>
    <w:unhideWhenUsed/>
    <w:pPr>
      <w:ind w:left="1701"/>
      <w:spacing w:after="57"/>
    </w:pPr>
  </w:style>
  <w:style w:type="paragraph" w:styleId="899">
    <w:name w:val="toc 8"/>
    <w:basedOn w:val="721"/>
    <w:next w:val="721"/>
    <w:uiPriority w:val="39"/>
    <w:unhideWhenUsed/>
    <w:pPr>
      <w:ind w:left="1984"/>
      <w:spacing w:after="57"/>
    </w:pPr>
  </w:style>
  <w:style w:type="paragraph" w:styleId="900">
    <w:name w:val="toc 9"/>
    <w:basedOn w:val="721"/>
    <w:next w:val="721"/>
    <w:uiPriority w:val="39"/>
    <w:unhideWhenUsed/>
    <w:pPr>
      <w:ind w:left="2268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721"/>
    <w:next w:val="721"/>
    <w:uiPriority w:val="99"/>
    <w:unhideWhenUsed/>
  </w:style>
  <w:style w:type="paragraph" w:styleId="903">
    <w:name w:val="Balloon Text"/>
    <w:basedOn w:val="721"/>
    <w:semiHidden/>
    <w:rPr>
      <w:rFonts w:ascii="Tahoma" w:hAnsi="Tahoma" w:cs="Tahoma"/>
      <w:sz w:val="16"/>
      <w:szCs w:val="16"/>
    </w:rPr>
  </w:style>
  <w:style w:type="character" w:styleId="904" w:customStyle="1">
    <w:name w:val="Верхний колонтитул Знак"/>
    <w:link w:val="753"/>
    <w:uiPriority w:val="99"/>
    <w:rPr>
      <w:sz w:val="24"/>
      <w:szCs w:val="24"/>
    </w:rPr>
  </w:style>
  <w:style w:type="character" w:styleId="905" w:customStyle="1">
    <w:name w:val="Нижний колонтитул Знак"/>
    <w:link w:val="755"/>
    <w:rPr>
      <w:sz w:val="24"/>
      <w:szCs w:val="24"/>
    </w:rPr>
  </w:style>
  <w:style w:type="paragraph" w:styleId="906" w:customStyle="1">
    <w:name w:val="Default"/>
    <w:rPr>
      <w:rFonts w:eastAsia="Calibri"/>
      <w:color w:val="000000"/>
      <w:sz w:val="24"/>
      <w:szCs w:val="24"/>
      <w:lang w:eastAsia="en-US"/>
    </w:rPr>
  </w:style>
  <w:style w:type="character" w:styleId="907" w:customStyle="1">
    <w:name w:val="docdata;docy;v5;3270;bqiaagaaeyqcaaagiaiaaamrbgaabrgkaaaaaaaaaaaaaaaaaaaaaaaaaaaaaaaaaaaaaaaaaaaaaaaaaaaaaaaaaaaaaaaaaaaaaaaaaaaaaaaaaaaaaaaaaaaaaaaaaaaaaaaaaaaaaaaaaaaaaaaaaaaaaaaaaaaaaaaaaaaaaaaaaaaaaaaaaaaaaaaaaaaaaaaaaaaaaaaaaaaaaaaaaaaaaaaaaaaaaaaa"/>
  </w:style>
  <w:style w:type="paragraph" w:styleId="908">
    <w:name w:val="Normal (Web)"/>
    <w:basedOn w:val="721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://www.zakupki.gov.ru" TargetMode="External"/><Relationship Id="rId11" Type="http://schemas.openxmlformats.org/officeDocument/2006/relationships/hyperlink" Target="http://www.roskazna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r7-office/2025.3.1.923</Application>
  <Company>ФК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</dc:title>
  <dc:creator>Чубарова</dc:creator>
  <cp:lastModifiedBy>Чубарова Татьяна Геннадьевна</cp:lastModifiedBy>
  <cp:revision>4</cp:revision>
  <dcterms:created xsi:type="dcterms:W3CDTF">2026-02-09T08:13:00Z</dcterms:created>
  <dcterms:modified xsi:type="dcterms:W3CDTF">2026-02-09T08:54:01Z</dcterms:modified>
  <cp:version>983040</cp:version>
</cp:coreProperties>
</file>